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2228" w14:textId="42B5162C" w:rsidR="00B1616B" w:rsidRPr="006B5C74" w:rsidRDefault="00482954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2C0B9319" wp14:editId="25297688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5105" w14:textId="77777777" w:rsidR="007D0309" w:rsidRPr="009E7661" w:rsidRDefault="007D0309">
      <w:pPr>
        <w:jc w:val="center"/>
        <w:rPr>
          <w:rFonts w:ascii="Arial" w:hAnsi="Arial" w:cs="Arial"/>
          <w:b/>
          <w:sz w:val="16"/>
          <w:szCs w:val="16"/>
        </w:rPr>
      </w:pPr>
    </w:p>
    <w:p w14:paraId="2B58E34A" w14:textId="77777777" w:rsidR="00B1616B" w:rsidRDefault="00AE5C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 VALUE POLICY RIDER</w:t>
      </w:r>
    </w:p>
    <w:p w14:paraId="0C1469C0" w14:textId="3B43E8D8" w:rsidR="00F708C6" w:rsidRPr="006B5C74" w:rsidRDefault="00F708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(TIRSA OWNER’S EXTENDED PROTECTION POLICY ONLY)</w:t>
      </w:r>
      <w:bookmarkStart w:id="0" w:name="_GoBack"/>
      <w:bookmarkEnd w:id="0"/>
    </w:p>
    <w:p w14:paraId="0629A965" w14:textId="77777777" w:rsidR="00150F02" w:rsidRPr="009E7661" w:rsidRDefault="00150F02">
      <w:pPr>
        <w:jc w:val="center"/>
        <w:rPr>
          <w:rFonts w:ascii="Arial" w:hAnsi="Arial" w:cs="Arial"/>
          <w:b/>
          <w:sz w:val="16"/>
          <w:szCs w:val="16"/>
        </w:rPr>
      </w:pPr>
    </w:p>
    <w:p w14:paraId="0754357A" w14:textId="77777777" w:rsidR="00150F02" w:rsidRDefault="00F708C6" w:rsidP="00817DC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708C6">
        <w:rPr>
          <w:rFonts w:ascii="Arial" w:hAnsi="Arial" w:cs="Arial"/>
          <w:b/>
          <w:bCs/>
          <w:sz w:val="18"/>
          <w:szCs w:val="18"/>
        </w:rPr>
        <w:t xml:space="preserve">Attached to and made part of Policy Number: </w:t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1674E"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14:paraId="44943C1F" w14:textId="77777777" w:rsidR="00F708C6" w:rsidRPr="009E7661" w:rsidRDefault="00F708C6" w:rsidP="00817DC5">
      <w:pPr>
        <w:jc w:val="both"/>
        <w:rPr>
          <w:rFonts w:ascii="Arial" w:hAnsi="Arial" w:cs="Arial"/>
          <w:sz w:val="16"/>
          <w:szCs w:val="16"/>
        </w:rPr>
      </w:pPr>
    </w:p>
    <w:p w14:paraId="05D350F3" w14:textId="77777777" w:rsidR="009E7661" w:rsidRPr="009E7661" w:rsidRDefault="009E7661" w:rsidP="009E7661">
      <w:pPr>
        <w:jc w:val="both"/>
        <w:rPr>
          <w:rFonts w:ascii="Arial" w:hAnsi="Arial" w:cs="Arial"/>
          <w:sz w:val="18"/>
          <w:szCs w:val="18"/>
        </w:rPr>
      </w:pPr>
      <w:r w:rsidRPr="009E7661">
        <w:rPr>
          <w:rFonts w:ascii="Arial" w:hAnsi="Arial" w:cs="Arial"/>
          <w:sz w:val="18"/>
          <w:szCs w:val="18"/>
        </w:rPr>
        <w:t>Owner's Statement of Coverage:</w:t>
      </w:r>
    </w:p>
    <w:p w14:paraId="16D52C08" w14:textId="77777777" w:rsidR="009E7661" w:rsidRPr="009E7661" w:rsidRDefault="009E7661" w:rsidP="009E7661">
      <w:pPr>
        <w:jc w:val="both"/>
        <w:rPr>
          <w:rFonts w:ascii="Arial" w:hAnsi="Arial" w:cs="Arial"/>
          <w:sz w:val="16"/>
          <w:szCs w:val="16"/>
        </w:rPr>
      </w:pPr>
    </w:p>
    <w:p w14:paraId="0B06F9C3" w14:textId="77777777" w:rsidR="00150F02" w:rsidRPr="009E7661" w:rsidRDefault="00F708C6" w:rsidP="00F708C6">
      <w:pPr>
        <w:jc w:val="both"/>
        <w:rPr>
          <w:rFonts w:ascii="Arial" w:hAnsi="Arial" w:cs="Arial"/>
          <w:sz w:val="18"/>
          <w:szCs w:val="18"/>
        </w:rPr>
      </w:pPr>
      <w:r w:rsidRPr="00F708C6">
        <w:rPr>
          <w:rFonts w:ascii="Arial" w:hAnsi="Arial" w:cs="Arial"/>
          <w:sz w:val="18"/>
          <w:szCs w:val="18"/>
        </w:rPr>
        <w:t>In consideration of the payment of the additional premium for the issuance of this Rider to the TIRSA Owner’s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Extended Protection Policy, the Policy insures against loss or damage not exceeding the market value of the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premises at the time of loss, in accordance with the Exclusions and Conditions of the Policy not inconsistent with the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provisions of this Rider, and subject to the matters excepted from coverage in Schedule B.</w:t>
      </w:r>
      <w:r w:rsidR="009E7661" w:rsidRPr="009E7661">
        <w:rPr>
          <w:rFonts w:ascii="Arial" w:hAnsi="Arial" w:cs="Arial"/>
          <w:sz w:val="18"/>
          <w:szCs w:val="18"/>
        </w:rPr>
        <w:t>.</w:t>
      </w:r>
    </w:p>
    <w:p w14:paraId="25A872ED" w14:textId="77777777" w:rsidR="00150F02" w:rsidRPr="009E7661" w:rsidRDefault="00150F02" w:rsidP="00817DC5">
      <w:pPr>
        <w:jc w:val="both"/>
        <w:rPr>
          <w:rFonts w:ascii="Arial" w:hAnsi="Arial" w:cs="Arial"/>
          <w:sz w:val="16"/>
          <w:szCs w:val="16"/>
        </w:rPr>
      </w:pPr>
    </w:p>
    <w:p w14:paraId="4A4DB3B5" w14:textId="77777777" w:rsidR="009E7661" w:rsidRPr="009E7661" w:rsidRDefault="009E7661" w:rsidP="009E7661">
      <w:pPr>
        <w:jc w:val="both"/>
        <w:rPr>
          <w:rFonts w:ascii="Arial" w:hAnsi="Arial" w:cs="Arial"/>
          <w:sz w:val="18"/>
          <w:szCs w:val="18"/>
        </w:rPr>
      </w:pPr>
      <w:r w:rsidRPr="009E7661">
        <w:rPr>
          <w:rFonts w:ascii="Arial" w:hAnsi="Arial" w:cs="Arial"/>
          <w:sz w:val="18"/>
          <w:szCs w:val="18"/>
        </w:rPr>
        <w:t>DEFINITIONS:</w:t>
      </w:r>
    </w:p>
    <w:p w14:paraId="21F3F6C8" w14:textId="77777777" w:rsidR="009E7661" w:rsidRPr="00F708C6" w:rsidRDefault="009E7661" w:rsidP="009E7661">
      <w:pPr>
        <w:jc w:val="both"/>
        <w:rPr>
          <w:rFonts w:ascii="Arial" w:hAnsi="Arial" w:cs="Arial"/>
          <w:sz w:val="16"/>
          <w:szCs w:val="16"/>
        </w:rPr>
      </w:pPr>
    </w:p>
    <w:p w14:paraId="274F09D6" w14:textId="77777777" w:rsidR="009E7661" w:rsidRPr="009E7661" w:rsidRDefault="009E7661" w:rsidP="00F708C6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9E7661">
        <w:rPr>
          <w:rFonts w:ascii="Arial" w:hAnsi="Arial" w:cs="Arial"/>
          <w:sz w:val="18"/>
          <w:szCs w:val="18"/>
        </w:rPr>
        <w:t>(a)</w:t>
      </w:r>
      <w:r w:rsidRPr="009E7661">
        <w:rPr>
          <w:rFonts w:ascii="Arial" w:hAnsi="Arial" w:cs="Arial"/>
          <w:sz w:val="18"/>
          <w:szCs w:val="18"/>
        </w:rPr>
        <w:tab/>
      </w:r>
      <w:r w:rsidR="00F708C6" w:rsidRPr="00F708C6">
        <w:rPr>
          <w:rFonts w:ascii="Arial" w:hAnsi="Arial" w:cs="Arial"/>
          <w:sz w:val="18"/>
          <w:szCs w:val="18"/>
        </w:rPr>
        <w:t>Time of loss shall be such date as the insured shall have actual knowledge of facts giving rise to a claim</w:t>
      </w:r>
      <w:r w:rsidR="00F708C6">
        <w:rPr>
          <w:rFonts w:ascii="Arial" w:hAnsi="Arial" w:cs="Arial"/>
          <w:sz w:val="18"/>
          <w:szCs w:val="18"/>
        </w:rPr>
        <w:t xml:space="preserve"> under the Policy</w:t>
      </w:r>
      <w:r w:rsidRPr="009E7661">
        <w:rPr>
          <w:rFonts w:ascii="Arial" w:hAnsi="Arial" w:cs="Arial"/>
          <w:sz w:val="18"/>
          <w:szCs w:val="18"/>
        </w:rPr>
        <w:t>.</w:t>
      </w:r>
    </w:p>
    <w:p w14:paraId="1E390C8B" w14:textId="77777777" w:rsidR="009E7661" w:rsidRPr="009E7661" w:rsidRDefault="009E7661" w:rsidP="00F708C6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9E7661">
        <w:rPr>
          <w:rFonts w:ascii="Arial" w:hAnsi="Arial" w:cs="Arial"/>
          <w:sz w:val="18"/>
          <w:szCs w:val="18"/>
        </w:rPr>
        <w:t>(b)</w:t>
      </w:r>
      <w:r w:rsidRPr="009E7661">
        <w:rPr>
          <w:rFonts w:ascii="Arial" w:hAnsi="Arial" w:cs="Arial"/>
          <w:sz w:val="18"/>
          <w:szCs w:val="18"/>
        </w:rPr>
        <w:tab/>
      </w:r>
      <w:r w:rsidR="00F708C6" w:rsidRPr="00F708C6">
        <w:rPr>
          <w:rFonts w:ascii="Arial" w:hAnsi="Arial" w:cs="Arial"/>
          <w:sz w:val="18"/>
          <w:szCs w:val="18"/>
        </w:rPr>
        <w:t>A homeowner is a natural person, fee owner and resident of real property used predominately for residential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purposes and containing no more than 4 dwelling units, or a residential condominium unit. The benefits of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this Rider shall be available only to the named insured provided the named insured is a homeowner as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defined herein at the date of the issuance of this Rider and at the date any claim under this Rider is made</w:t>
      </w:r>
      <w:r w:rsidRPr="009E7661">
        <w:rPr>
          <w:rFonts w:ascii="Arial" w:hAnsi="Arial" w:cs="Arial"/>
          <w:sz w:val="18"/>
          <w:szCs w:val="18"/>
        </w:rPr>
        <w:t>.</w:t>
      </w:r>
    </w:p>
    <w:p w14:paraId="0DA2F403" w14:textId="77777777" w:rsidR="009E7661" w:rsidRPr="009E7661" w:rsidRDefault="00B4417F" w:rsidP="00F708C6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9E7661">
        <w:rPr>
          <w:rFonts w:ascii="Arial" w:hAnsi="Arial" w:cs="Arial"/>
          <w:sz w:val="18"/>
          <w:szCs w:val="18"/>
        </w:rPr>
        <w:t xml:space="preserve"> </w:t>
      </w:r>
      <w:r w:rsidR="009E7661" w:rsidRPr="009E7661">
        <w:rPr>
          <w:rFonts w:ascii="Arial" w:hAnsi="Arial" w:cs="Arial"/>
          <w:sz w:val="18"/>
          <w:szCs w:val="18"/>
        </w:rPr>
        <w:t>(c)</w:t>
      </w:r>
      <w:r w:rsidR="009E7661" w:rsidRPr="009E7661">
        <w:rPr>
          <w:rFonts w:ascii="Arial" w:hAnsi="Arial" w:cs="Arial"/>
          <w:sz w:val="18"/>
          <w:szCs w:val="18"/>
        </w:rPr>
        <w:tab/>
      </w:r>
      <w:r w:rsidR="00F708C6" w:rsidRPr="00F708C6">
        <w:rPr>
          <w:rFonts w:ascii="Arial" w:hAnsi="Arial" w:cs="Arial"/>
          <w:sz w:val="18"/>
          <w:szCs w:val="18"/>
        </w:rPr>
        <w:t>Market value at time of loss shall be such value of the insured premises as is determined by three arbitrators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or any two of them, one of whom should be chosen by the insured and one by the Company, and the two so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chosen selecting the third arbitrator. Such value shall exclude the market value of any improvements made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to the premises subsequent to the date of the Policy</w:t>
      </w:r>
      <w:r w:rsidR="009E7661" w:rsidRPr="009E7661">
        <w:rPr>
          <w:rFonts w:ascii="Arial" w:hAnsi="Arial" w:cs="Arial"/>
          <w:sz w:val="18"/>
          <w:szCs w:val="18"/>
        </w:rPr>
        <w:t>.</w:t>
      </w:r>
    </w:p>
    <w:p w14:paraId="3F77BD74" w14:textId="77777777" w:rsidR="00150F02" w:rsidRPr="009E7661" w:rsidRDefault="00150F02" w:rsidP="00817DC5">
      <w:pPr>
        <w:jc w:val="both"/>
        <w:rPr>
          <w:rFonts w:ascii="Arial" w:hAnsi="Arial" w:cs="Arial"/>
          <w:sz w:val="16"/>
          <w:szCs w:val="16"/>
        </w:rPr>
      </w:pPr>
    </w:p>
    <w:p w14:paraId="6FABE4FA" w14:textId="77777777" w:rsidR="009E7661" w:rsidRPr="009E7661" w:rsidRDefault="009E7661" w:rsidP="009E7661">
      <w:pPr>
        <w:jc w:val="both"/>
        <w:rPr>
          <w:rFonts w:ascii="Arial" w:hAnsi="Arial" w:cs="Arial"/>
          <w:sz w:val="18"/>
          <w:szCs w:val="18"/>
        </w:rPr>
      </w:pPr>
      <w:r w:rsidRPr="009E7661">
        <w:rPr>
          <w:rFonts w:ascii="Arial" w:hAnsi="Arial" w:cs="Arial"/>
          <w:sz w:val="18"/>
          <w:szCs w:val="18"/>
        </w:rPr>
        <w:t>CONDITIONS:</w:t>
      </w:r>
    </w:p>
    <w:p w14:paraId="307C42DB" w14:textId="77777777" w:rsidR="009E7661" w:rsidRPr="009E7661" w:rsidRDefault="009E7661" w:rsidP="009E7661">
      <w:pPr>
        <w:jc w:val="both"/>
        <w:rPr>
          <w:rFonts w:ascii="Arial" w:hAnsi="Arial" w:cs="Arial"/>
          <w:sz w:val="16"/>
          <w:szCs w:val="16"/>
        </w:rPr>
      </w:pPr>
    </w:p>
    <w:p w14:paraId="2A1DA519" w14:textId="77777777" w:rsidR="00F708C6" w:rsidRDefault="00F708C6" w:rsidP="00F708C6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F708C6">
        <w:rPr>
          <w:rFonts w:ascii="Arial" w:hAnsi="Arial" w:cs="Arial"/>
          <w:sz w:val="18"/>
          <w:szCs w:val="18"/>
        </w:rPr>
        <w:t>Paragraph 10 of the Conditions of the Policy is hereby deleted.</w:t>
      </w:r>
    </w:p>
    <w:p w14:paraId="4E538C3E" w14:textId="77777777" w:rsidR="009E7661" w:rsidRPr="009E7661" w:rsidRDefault="0061674E" w:rsidP="00F708C6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the event that a</w:t>
      </w:r>
      <w:r w:rsidR="00F708C6" w:rsidRPr="00F708C6">
        <w:rPr>
          <w:rFonts w:ascii="Arial" w:hAnsi="Arial" w:cs="Arial"/>
          <w:sz w:val="18"/>
          <w:szCs w:val="18"/>
        </w:rPr>
        <w:t xml:space="preserve"> loss occurs after the insured makes an improvement to the insured premises subsequent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to the date of this Rider the valuation of such loss shall be determined in relationship to the market value of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the premises at the time of such loss, minus the market value of such improvements made to the insured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premises subsequent to the date of this Rider.</w:t>
      </w:r>
      <w:r w:rsidR="009E7661" w:rsidRPr="009E7661">
        <w:rPr>
          <w:rFonts w:ascii="Arial" w:hAnsi="Arial" w:cs="Arial"/>
          <w:sz w:val="18"/>
          <w:szCs w:val="18"/>
        </w:rPr>
        <w:t>.</w:t>
      </w:r>
    </w:p>
    <w:p w14:paraId="76381065" w14:textId="77777777" w:rsidR="009E7661" w:rsidRPr="00F708C6" w:rsidRDefault="00F708C6" w:rsidP="00F708C6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F708C6">
        <w:rPr>
          <w:rFonts w:ascii="Arial" w:hAnsi="Arial" w:cs="Arial"/>
          <w:sz w:val="18"/>
          <w:szCs w:val="18"/>
        </w:rPr>
        <w:t>Notwithstanding anything herein to the contrary, in the event of a loss, partial or total, the insured shall have the option to elect to value such loss under the terms of this Rider or under the terms and amount of the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Policy.</w:t>
      </w:r>
    </w:p>
    <w:p w14:paraId="5FD9E5C8" w14:textId="77777777" w:rsidR="009E7661" w:rsidRDefault="009E7661" w:rsidP="00F708C6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F708C6">
        <w:rPr>
          <w:rFonts w:ascii="Arial" w:hAnsi="Arial" w:cs="Arial"/>
          <w:sz w:val="18"/>
          <w:szCs w:val="18"/>
        </w:rPr>
        <w:t>T</w:t>
      </w:r>
      <w:r w:rsidR="00F708C6" w:rsidRPr="00F708C6">
        <w:rPr>
          <w:rFonts w:ascii="Arial" w:hAnsi="Arial" w:cs="Arial"/>
          <w:sz w:val="18"/>
          <w:szCs w:val="18"/>
        </w:rPr>
        <w:t>his Endorsement does not increase or decrease any amount shown under “Your Deductible Amount” set forth in Schedule A of the Policy and does not increase or decrease any amount shown under “Our</w:t>
      </w:r>
      <w:r w:rsidR="00F708C6">
        <w:rPr>
          <w:rFonts w:ascii="Arial" w:hAnsi="Arial" w:cs="Arial"/>
          <w:sz w:val="18"/>
          <w:szCs w:val="18"/>
        </w:rPr>
        <w:t xml:space="preserve"> </w:t>
      </w:r>
      <w:r w:rsidR="00F708C6" w:rsidRPr="00F708C6">
        <w:rPr>
          <w:rFonts w:ascii="Arial" w:hAnsi="Arial" w:cs="Arial"/>
          <w:sz w:val="18"/>
          <w:szCs w:val="18"/>
        </w:rPr>
        <w:t>Maximum Dollar Limit of Liability” set forth in Schedule A of the Policy</w:t>
      </w:r>
      <w:r w:rsidRPr="00F708C6">
        <w:rPr>
          <w:rFonts w:ascii="Arial" w:hAnsi="Arial" w:cs="Arial"/>
          <w:sz w:val="18"/>
          <w:szCs w:val="18"/>
        </w:rPr>
        <w:t>.</w:t>
      </w:r>
    </w:p>
    <w:p w14:paraId="4551037F" w14:textId="77777777" w:rsidR="00F708C6" w:rsidRPr="00F708C6" w:rsidRDefault="00F708C6" w:rsidP="00F708C6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FFFF0CF" w14:textId="77777777" w:rsidR="00F708C6" w:rsidRPr="00F708C6" w:rsidRDefault="00F708C6" w:rsidP="00F708C6">
      <w:pPr>
        <w:jc w:val="both"/>
        <w:rPr>
          <w:rFonts w:ascii="Arial" w:hAnsi="Arial" w:cs="Arial"/>
          <w:sz w:val="18"/>
          <w:szCs w:val="18"/>
        </w:rPr>
      </w:pPr>
      <w:r w:rsidRPr="00F708C6">
        <w:rPr>
          <w:rFonts w:ascii="Arial" w:hAnsi="Arial" w:cs="Arial"/>
          <w:sz w:val="18"/>
          <w:szCs w:val="18"/>
        </w:rPr>
        <w:t>This endorsement is made a part of the Policy and is subject to all of the terms and provisions thereof and of any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other endorsements thereto. Except to the extent expressly stated, it neither modifies any of the terms and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provisions of the Policy and any other endorsements, nor does it extend the effective date of the Policy and any other</w:t>
      </w:r>
      <w:r>
        <w:rPr>
          <w:rFonts w:ascii="Arial" w:hAnsi="Arial" w:cs="Arial"/>
          <w:sz w:val="18"/>
          <w:szCs w:val="18"/>
        </w:rPr>
        <w:t xml:space="preserve"> </w:t>
      </w:r>
      <w:r w:rsidRPr="00F708C6">
        <w:rPr>
          <w:rFonts w:ascii="Arial" w:hAnsi="Arial" w:cs="Arial"/>
          <w:sz w:val="18"/>
          <w:szCs w:val="18"/>
        </w:rPr>
        <w:t>endorsements, nor does it increase the face amount thereof.</w:t>
      </w:r>
    </w:p>
    <w:p w14:paraId="28C60E97" w14:textId="77777777" w:rsidR="005D1083" w:rsidRDefault="005D1083" w:rsidP="00817DC5">
      <w:pPr>
        <w:jc w:val="both"/>
        <w:rPr>
          <w:rFonts w:ascii="Arial" w:hAnsi="Arial" w:cs="Arial"/>
          <w:sz w:val="20"/>
          <w:szCs w:val="20"/>
        </w:rPr>
      </w:pPr>
    </w:p>
    <w:p w14:paraId="512A8514" w14:textId="77777777" w:rsidR="00B4417F" w:rsidRDefault="00B4417F" w:rsidP="00817DC5">
      <w:pPr>
        <w:jc w:val="both"/>
        <w:rPr>
          <w:rFonts w:ascii="Arial" w:hAnsi="Arial" w:cs="Arial"/>
          <w:sz w:val="20"/>
          <w:szCs w:val="20"/>
        </w:rPr>
      </w:pPr>
    </w:p>
    <w:p w14:paraId="67404261" w14:textId="77777777" w:rsidR="00F708C6" w:rsidRPr="006B5C74" w:rsidRDefault="00F708C6" w:rsidP="00817DC5">
      <w:pPr>
        <w:jc w:val="both"/>
        <w:rPr>
          <w:rFonts w:ascii="Arial" w:hAnsi="Arial" w:cs="Arial"/>
          <w:sz w:val="20"/>
          <w:szCs w:val="20"/>
        </w:rPr>
        <w:sectPr w:rsidR="00F708C6" w:rsidRPr="006B5C74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273F7595" w14:textId="77777777" w:rsidR="00B4417F" w:rsidRDefault="00B4417F" w:rsidP="00B4417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B4417F" w:rsidRPr="00444AB7" w14:paraId="70E266FB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9B4AE7" w:rsidRPr="00DB6F6B" w14:paraId="39B758D4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0E3237DD" w14:textId="77777777" w:rsidR="009B4AE7" w:rsidRPr="00DB6F6B" w:rsidRDefault="009B4AE7" w:rsidP="009B4AE7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9B4AE7" w:rsidRPr="0084617D" w14:paraId="0B330B9E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795DC59" w14:textId="77777777" w:rsidR="009B4AE7" w:rsidRPr="0084617D" w:rsidRDefault="009B4AE7" w:rsidP="009B4AE7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9B4AE7" w:rsidRPr="0084617D" w14:paraId="0ACCBD96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4051523D" w14:textId="77777777" w:rsidR="009B4AE7" w:rsidRPr="0084617D" w:rsidRDefault="009B4AE7" w:rsidP="009B4AE7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9B4AE7" w:rsidRPr="0084617D" w14:paraId="580A1612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B91EBA5" w14:textId="77777777" w:rsidR="009B4AE7" w:rsidRPr="0084617D" w:rsidRDefault="009B4AE7" w:rsidP="009B4AE7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9B4AE7" w:rsidRPr="0084617D" w14:paraId="3CAC6626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15FD9791" w14:textId="77777777" w:rsidR="009B4AE7" w:rsidRPr="0084617D" w:rsidRDefault="009B4AE7" w:rsidP="009B4AE7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3CD79CCB" w14:textId="77777777" w:rsidR="009B4AE7" w:rsidRPr="00DB6F6B" w:rsidRDefault="009B4AE7" w:rsidP="009B4AE7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6A6DB2F" w14:textId="77777777" w:rsidR="009B4AE7" w:rsidRPr="00DB6F6B" w:rsidRDefault="009B4AE7" w:rsidP="009B4AE7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3A335FD5" w14:textId="77777777" w:rsidR="009B4AE7" w:rsidRPr="00DB6F6B" w:rsidRDefault="009B4AE7" w:rsidP="009B4AE7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5FF04C56" w14:textId="77777777" w:rsidR="009B4AE7" w:rsidRPr="00DB6F6B" w:rsidRDefault="009B4AE7" w:rsidP="009B4AE7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49D79FD9" wp14:editId="701C11B5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20AD76E8" w14:textId="77777777" w:rsidR="009B4AE7" w:rsidRPr="00DB6F6B" w:rsidRDefault="009B4AE7" w:rsidP="009B4AE7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7FE050B3" wp14:editId="5B84DE48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492BE8" w14:textId="77777777" w:rsidR="00B4417F" w:rsidRPr="00444AB7" w:rsidRDefault="00B4417F" w:rsidP="00670BB4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EAE4371" w14:textId="7AEDC1D6" w:rsidR="00B4417F" w:rsidRPr="00444AB7" w:rsidRDefault="00B4417F" w:rsidP="00670BB4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2E5E40A3" w14:textId="23E09CD8" w:rsidR="00B4417F" w:rsidRPr="00444AB7" w:rsidRDefault="00B4417F" w:rsidP="00670BB4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895AD1C" w14:textId="77777777" w:rsidR="00B1616B" w:rsidRPr="006B5C74" w:rsidRDefault="00B1616B" w:rsidP="00B4417F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6B5C74" w:rsidSect="0061674E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73C75" w14:textId="77777777" w:rsidR="000848F5" w:rsidRDefault="000848F5">
      <w:r>
        <w:separator/>
      </w:r>
    </w:p>
  </w:endnote>
  <w:endnote w:type="continuationSeparator" w:id="0">
    <w:p w14:paraId="3C4D2A98" w14:textId="77777777" w:rsidR="000848F5" w:rsidRDefault="0008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9F54" w14:textId="77777777" w:rsidR="0061674E" w:rsidRDefault="00616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00826" w14:textId="315FE38E" w:rsidR="00B1616B" w:rsidRDefault="009A1D6D" w:rsidP="0061674E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E736D0">
      <w:rPr>
        <w:rFonts w:ascii="Arial" w:hAnsi="Arial" w:cs="Arial"/>
        <w:sz w:val="16"/>
        <w:szCs w:val="20"/>
      </w:rPr>
      <w:t xml:space="preserve"> </w:t>
    </w:r>
    <w:r w:rsidR="005F7668">
      <w:rPr>
        <w:rFonts w:ascii="Arial" w:hAnsi="Arial" w:cs="Arial"/>
        <w:sz w:val="16"/>
        <w:szCs w:val="20"/>
      </w:rPr>
      <w:t>MARKET VALUE POLICY RIDER</w:t>
    </w:r>
    <w:r w:rsidR="00150F02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F708C6">
      <w:rPr>
        <w:rFonts w:ascii="Arial" w:hAnsi="Arial" w:cs="Arial"/>
        <w:sz w:val="16"/>
        <w:szCs w:val="20"/>
      </w:rPr>
      <w:t>4/24/01</w:t>
    </w:r>
    <w:r w:rsidR="0090267B">
      <w:rPr>
        <w:rFonts w:ascii="Arial" w:hAnsi="Arial" w:cs="Arial"/>
        <w:sz w:val="16"/>
        <w:szCs w:val="20"/>
      </w:rPr>
      <w:t>)</w:t>
    </w:r>
    <w:r w:rsidR="005F7668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4F6B68" w:rsidRPr="004F6B68">
      <w:rPr>
        <w:rFonts w:ascii="Arial" w:hAnsi="Arial" w:cs="Arial"/>
        <w:sz w:val="16"/>
        <w:szCs w:val="20"/>
      </w:rPr>
      <w:t>Sixth Revision (1/14/2021)</w:t>
    </w:r>
  </w:p>
  <w:p w14:paraId="1F6558D2" w14:textId="46A98AA3" w:rsidR="00B1616B" w:rsidRDefault="00482954" w:rsidP="0061674E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(TIRSA Owner’s Extended Protection Policy Only)</w:t>
    </w:r>
    <w:r w:rsidR="00F708C6">
      <w:rPr>
        <w:rFonts w:ascii="Arial" w:hAnsi="Arial" w:cs="Arial"/>
        <w:sz w:val="16"/>
        <w:szCs w:val="20"/>
      </w:rPr>
      <w:tab/>
    </w:r>
    <w:r w:rsidR="00CE1411">
      <w:rPr>
        <w:rFonts w:ascii="Arial" w:hAnsi="Arial" w:cs="Arial"/>
        <w:sz w:val="16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ED4F" w14:textId="77777777" w:rsidR="0061674E" w:rsidRDefault="00616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097E" w14:textId="77777777" w:rsidR="000848F5" w:rsidRDefault="000848F5">
      <w:r>
        <w:separator/>
      </w:r>
    </w:p>
  </w:footnote>
  <w:footnote w:type="continuationSeparator" w:id="0">
    <w:p w14:paraId="4A13480A" w14:textId="77777777" w:rsidR="000848F5" w:rsidRDefault="0008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736D" w14:textId="77777777" w:rsidR="0061674E" w:rsidRDefault="00616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4314" w14:textId="77777777" w:rsidR="0061674E" w:rsidRDefault="00616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1592" w14:textId="77777777" w:rsidR="0061674E" w:rsidRDefault="00616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35C3D"/>
    <w:rsid w:val="000848F5"/>
    <w:rsid w:val="000B5686"/>
    <w:rsid w:val="000E3F27"/>
    <w:rsid w:val="000F71A9"/>
    <w:rsid w:val="001008B0"/>
    <w:rsid w:val="0012218C"/>
    <w:rsid w:val="00141299"/>
    <w:rsid w:val="00141C51"/>
    <w:rsid w:val="00150DF6"/>
    <w:rsid w:val="00150F02"/>
    <w:rsid w:val="00186EA6"/>
    <w:rsid w:val="001969E7"/>
    <w:rsid w:val="001D1DEE"/>
    <w:rsid w:val="001E20BB"/>
    <w:rsid w:val="0020128A"/>
    <w:rsid w:val="002514DB"/>
    <w:rsid w:val="00287CB6"/>
    <w:rsid w:val="002B12D8"/>
    <w:rsid w:val="002C040F"/>
    <w:rsid w:val="00324AFE"/>
    <w:rsid w:val="00327EDA"/>
    <w:rsid w:val="003411C7"/>
    <w:rsid w:val="00347D40"/>
    <w:rsid w:val="00375A2F"/>
    <w:rsid w:val="00384086"/>
    <w:rsid w:val="00385A93"/>
    <w:rsid w:val="003B2416"/>
    <w:rsid w:val="003F0726"/>
    <w:rsid w:val="004045CB"/>
    <w:rsid w:val="004152E9"/>
    <w:rsid w:val="00420B77"/>
    <w:rsid w:val="00432B64"/>
    <w:rsid w:val="00480D0B"/>
    <w:rsid w:val="00482954"/>
    <w:rsid w:val="004942C4"/>
    <w:rsid w:val="004C563F"/>
    <w:rsid w:val="004E4DB2"/>
    <w:rsid w:val="004F0F63"/>
    <w:rsid w:val="004F6B68"/>
    <w:rsid w:val="00507A9A"/>
    <w:rsid w:val="0052197C"/>
    <w:rsid w:val="00564F97"/>
    <w:rsid w:val="005A103C"/>
    <w:rsid w:val="005D1083"/>
    <w:rsid w:val="005F7668"/>
    <w:rsid w:val="0061674E"/>
    <w:rsid w:val="00621E90"/>
    <w:rsid w:val="006967D2"/>
    <w:rsid w:val="006B26FC"/>
    <w:rsid w:val="006B5C74"/>
    <w:rsid w:val="006B62D2"/>
    <w:rsid w:val="00711D32"/>
    <w:rsid w:val="007549BE"/>
    <w:rsid w:val="007D0309"/>
    <w:rsid w:val="007E3DF9"/>
    <w:rsid w:val="007F6995"/>
    <w:rsid w:val="00803117"/>
    <w:rsid w:val="0080345E"/>
    <w:rsid w:val="0080636C"/>
    <w:rsid w:val="00817DC5"/>
    <w:rsid w:val="0085288B"/>
    <w:rsid w:val="00865299"/>
    <w:rsid w:val="00870B23"/>
    <w:rsid w:val="00872C2F"/>
    <w:rsid w:val="008D7503"/>
    <w:rsid w:val="008E1C95"/>
    <w:rsid w:val="008E41CD"/>
    <w:rsid w:val="00900F58"/>
    <w:rsid w:val="0090267B"/>
    <w:rsid w:val="009153DF"/>
    <w:rsid w:val="00947FB9"/>
    <w:rsid w:val="00952411"/>
    <w:rsid w:val="009627D0"/>
    <w:rsid w:val="00966887"/>
    <w:rsid w:val="009722A1"/>
    <w:rsid w:val="009734AD"/>
    <w:rsid w:val="00980D7B"/>
    <w:rsid w:val="009A1D6D"/>
    <w:rsid w:val="009B4AE7"/>
    <w:rsid w:val="009E7661"/>
    <w:rsid w:val="00A20385"/>
    <w:rsid w:val="00A3316C"/>
    <w:rsid w:val="00A51458"/>
    <w:rsid w:val="00A66DD1"/>
    <w:rsid w:val="00AE5C68"/>
    <w:rsid w:val="00B02C60"/>
    <w:rsid w:val="00B1616B"/>
    <w:rsid w:val="00B209D8"/>
    <w:rsid w:val="00B2374E"/>
    <w:rsid w:val="00B30A09"/>
    <w:rsid w:val="00B4417F"/>
    <w:rsid w:val="00B71524"/>
    <w:rsid w:val="00B727EF"/>
    <w:rsid w:val="00B91890"/>
    <w:rsid w:val="00B96521"/>
    <w:rsid w:val="00BB44D9"/>
    <w:rsid w:val="00BB499C"/>
    <w:rsid w:val="00BF0597"/>
    <w:rsid w:val="00C82D20"/>
    <w:rsid w:val="00C90A22"/>
    <w:rsid w:val="00C941EE"/>
    <w:rsid w:val="00CA4387"/>
    <w:rsid w:val="00CD0954"/>
    <w:rsid w:val="00CE1411"/>
    <w:rsid w:val="00D4338E"/>
    <w:rsid w:val="00D47D2E"/>
    <w:rsid w:val="00D678B1"/>
    <w:rsid w:val="00DC737E"/>
    <w:rsid w:val="00E1359F"/>
    <w:rsid w:val="00E34F55"/>
    <w:rsid w:val="00E43248"/>
    <w:rsid w:val="00E736D0"/>
    <w:rsid w:val="00E806D3"/>
    <w:rsid w:val="00EA6F69"/>
    <w:rsid w:val="00EC1E38"/>
    <w:rsid w:val="00EC5C30"/>
    <w:rsid w:val="00F408B3"/>
    <w:rsid w:val="00F43DE5"/>
    <w:rsid w:val="00F708C6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3DF5B92"/>
  <w15:chartTrackingRefBased/>
  <w15:docId w15:val="{27722278-E136-4CE3-8C08-8732D53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9B4AE7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9B4AE7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79BF-C52B-4941-9F49-32FA6FE9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2021-06-24T18:49:00Z</dcterms:created>
  <dcterms:modified xsi:type="dcterms:W3CDTF">2021-07-22T14:11:00Z</dcterms:modified>
</cp:coreProperties>
</file>